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768B5" w14:textId="3E43666B" w:rsidR="00B30C30" w:rsidRPr="00A05350" w:rsidRDefault="00DF298D" w:rsidP="00DF298D">
      <w:pPr>
        <w:snapToGrid w:val="0"/>
        <w:contextualSpacing/>
        <w:rPr>
          <w:rFonts w:ascii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5350">
        <w:rPr>
          <w:rFonts w:asciiTheme="minorEastAsia" w:hAnsiTheme="minorEastAsia" w:hint="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JCSIS　泰栄教育センター</w:t>
      </w:r>
    </w:p>
    <w:p w14:paraId="3ABCDD3B" w14:textId="2F1BD362" w:rsidR="00DF298D" w:rsidRPr="00A05350" w:rsidRDefault="00DF298D" w:rsidP="00DF298D">
      <w:pPr>
        <w:snapToGrid w:val="0"/>
        <w:contextualSpacing/>
        <w:rPr>
          <w:rFonts w:ascii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5350">
        <w:rPr>
          <w:rFonts w:asciiTheme="minorEastAsia" w:hAnsiTheme="minorEastAsia" w:hint="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専門技術知識の講座</w:t>
      </w:r>
    </w:p>
    <w:p w14:paraId="59892786" w14:textId="77777777" w:rsidR="00DF298D" w:rsidRPr="00A05350" w:rsidRDefault="00DF298D" w:rsidP="00DF298D">
      <w:pPr>
        <w:snapToGrid w:val="0"/>
        <w:contextualSpacing/>
        <w:rPr>
          <w:rFonts w:asciiTheme="minorEastAsia" w:hAnsiTheme="minorEastAsia" w:hint="eastAsia"/>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ED1C4F" w14:textId="6FBA151C" w:rsidR="00DF298D" w:rsidRDefault="00DF298D" w:rsidP="00A05350">
      <w:pPr>
        <w:ind w:firstLineChars="100" w:firstLine="221"/>
        <w:rPr>
          <w:rFonts w:asciiTheme="minorEastAsia" w:hAnsiTheme="minorEastAsia"/>
          <w:color w:val="111111"/>
          <w:sz w:val="22"/>
          <w:shd w:val="clear" w:color="auto" w:fill="FFFFFF"/>
        </w:rPr>
      </w:pPr>
      <w:r w:rsidRPr="00A05350">
        <w:rPr>
          <w:rStyle w:val="a3"/>
          <w:rFonts w:asciiTheme="minorEastAsia" w:hAnsiTheme="minorEastAsia"/>
          <w:color w:val="111111"/>
          <w:sz w:val="22"/>
          <w:shd w:val="clear" w:color="auto" w:fill="FFFFFF"/>
        </w:rPr>
        <w:t>医学統計学</w:t>
      </w:r>
      <w:r w:rsidRPr="00A05350">
        <w:rPr>
          <w:rFonts w:asciiTheme="minorEastAsia" w:hAnsiTheme="minorEastAsia"/>
          <w:color w:val="111111"/>
          <w:sz w:val="22"/>
          <w:shd w:val="clear" w:color="auto" w:fill="FFFFFF"/>
        </w:rPr>
        <w:t>（生物統計学、</w:t>
      </w:r>
      <w:r w:rsidRPr="00A05350">
        <w:rPr>
          <w:rStyle w:val="a3"/>
          <w:rFonts w:asciiTheme="minorEastAsia" w:hAnsiTheme="minorEastAsia"/>
          <w:color w:val="111111"/>
          <w:sz w:val="22"/>
          <w:shd w:val="clear" w:color="auto" w:fill="FFFFFF"/>
        </w:rPr>
        <w:t>医療統計学</w:t>
      </w:r>
      <w:r w:rsidRPr="00A05350">
        <w:rPr>
          <w:rFonts w:asciiTheme="minorEastAsia" w:hAnsiTheme="minorEastAsia"/>
          <w:color w:val="111111"/>
          <w:sz w:val="22"/>
          <w:shd w:val="clear" w:color="auto" w:fill="FFFFFF"/>
        </w:rPr>
        <w:t>などとも呼ばれます）とは、基礎・臨床・疫学といった</w:t>
      </w:r>
      <w:r w:rsidRPr="00A05350">
        <w:rPr>
          <w:rStyle w:val="a3"/>
          <w:rFonts w:asciiTheme="minorEastAsia" w:hAnsiTheme="minorEastAsia"/>
          <w:color w:val="111111"/>
          <w:sz w:val="22"/>
          <w:shd w:val="clear" w:color="auto" w:fill="FFFFFF"/>
        </w:rPr>
        <w:t>医学</w:t>
      </w:r>
      <w:r w:rsidRPr="00A05350">
        <w:rPr>
          <w:rFonts w:asciiTheme="minorEastAsia" w:hAnsiTheme="minorEastAsia"/>
          <w:color w:val="111111"/>
          <w:sz w:val="22"/>
          <w:shd w:val="clear" w:color="auto" w:fill="FFFFFF"/>
        </w:rPr>
        <w:t>研究において、どうデータをとるか（調査計画・実験計画）、どう解析するか（統計解析）の方法論を提供する応用学問です。</w:t>
      </w:r>
    </w:p>
    <w:p w14:paraId="50C8D745" w14:textId="0EE54DF3" w:rsidR="00A05350" w:rsidRPr="00A05350" w:rsidRDefault="00A05350" w:rsidP="00A05350">
      <w:pPr>
        <w:ind w:firstLineChars="100" w:firstLine="241"/>
        <w:rPr>
          <w:rFonts w:asciiTheme="minorEastAsia" w:hAnsiTheme="minorEastAsia"/>
          <w:b/>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5350">
        <w:rPr>
          <w:rFonts w:asciiTheme="minorEastAsia" w:hAnsiTheme="minorEastAsia" w:hint="eastAsia"/>
          <w:b/>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医学総計教科書</w:t>
      </w:r>
      <w:r w:rsidR="004325D0">
        <w:rPr>
          <w:rFonts w:asciiTheme="minorEastAsia" w:hAnsiTheme="minorEastAsia" w:hint="eastAsia"/>
          <w:b/>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紹介する基礎知識教科書</w:t>
      </w:r>
    </w:p>
    <w:p w14:paraId="21FC7855" w14:textId="15779BC3" w:rsidR="00A05350" w:rsidRDefault="00A05350" w:rsidP="00A05350">
      <w:pPr>
        <w:ind w:firstLineChars="100" w:firstLine="210"/>
        <w:rPr>
          <w:rFonts w:asciiTheme="minorEastAsia" w:hAnsiTheme="minorEastAsia"/>
          <w:color w:val="111111"/>
          <w:sz w:val="22"/>
          <w:shd w:val="clear" w:color="auto" w:fill="FFFFFF"/>
        </w:rPr>
      </w:pPr>
      <w:r>
        <w:rPr>
          <w:noProof/>
        </w:rPr>
        <w:drawing>
          <wp:inline distT="0" distB="0" distL="0" distR="0" wp14:anchorId="1366CB8D" wp14:editId="01F5FBBB">
            <wp:extent cx="1123950" cy="1584770"/>
            <wp:effectExtent l="0" t="0" r="0" b="0"/>
            <wp:docPr id="2" name="図 2" descr="基礎医学統計学改訂第7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基礎医学統計学改訂第7版"/>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9769" cy="1592974"/>
                    </a:xfrm>
                    <a:prstGeom prst="rect">
                      <a:avLst/>
                    </a:prstGeom>
                    <a:noFill/>
                    <a:ln>
                      <a:noFill/>
                    </a:ln>
                  </pic:spPr>
                </pic:pic>
              </a:graphicData>
            </a:graphic>
          </wp:inline>
        </w:drawing>
      </w:r>
      <w:r w:rsidR="004325D0">
        <w:rPr>
          <w:rFonts w:asciiTheme="minorEastAsia" w:hAnsiTheme="minorEastAsia" w:hint="eastAsia"/>
          <w:color w:val="111111"/>
          <w:sz w:val="22"/>
          <w:shd w:val="clear" w:color="auto" w:fill="FFFFFF"/>
        </w:rPr>
        <w:t xml:space="preserve">　</w:t>
      </w:r>
      <w:r w:rsidR="004325D0">
        <w:rPr>
          <w:noProof/>
        </w:rPr>
        <w:drawing>
          <wp:inline distT="0" distB="0" distL="0" distR="0" wp14:anchorId="30C13349" wp14:editId="22E37F5F">
            <wp:extent cx="1123950" cy="1591998"/>
            <wp:effectExtent l="0" t="0" r="0" b="8255"/>
            <wp:docPr id="3" name="図 3" descr="QR コード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QR コード が含まれている画像&#10;&#10;自動的に生成された説明"/>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266" cy="1619358"/>
                    </a:xfrm>
                    <a:prstGeom prst="rect">
                      <a:avLst/>
                    </a:prstGeom>
                    <a:noFill/>
                    <a:ln>
                      <a:noFill/>
                    </a:ln>
                  </pic:spPr>
                </pic:pic>
              </a:graphicData>
            </a:graphic>
          </wp:inline>
        </w:drawing>
      </w:r>
      <w:r w:rsidR="004325D0">
        <w:rPr>
          <w:rFonts w:asciiTheme="minorEastAsia" w:hAnsiTheme="minorEastAsia" w:hint="eastAsia"/>
          <w:color w:val="111111"/>
          <w:sz w:val="22"/>
          <w:shd w:val="clear" w:color="auto" w:fill="FFFFFF"/>
        </w:rPr>
        <w:t xml:space="preserve">　</w:t>
      </w:r>
      <w:r w:rsidR="004325D0">
        <w:rPr>
          <w:noProof/>
        </w:rPr>
        <w:drawing>
          <wp:inline distT="0" distB="0" distL="0" distR="0" wp14:anchorId="68B584FA" wp14:editId="17B1C750">
            <wp:extent cx="1143000" cy="1623579"/>
            <wp:effectExtent l="0" t="0" r="0" b="0"/>
            <wp:docPr id="4" name="図 4" descr="フリードマン検定とは？計算手順や有意差があるときの結果の解釈も｜いちばんやさしい、医療統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フリードマン検定とは？計算手順や有意差があるときの結果の解釈も｜いちばんやさしい、医療統計"/>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133" cy="1650757"/>
                    </a:xfrm>
                    <a:prstGeom prst="rect">
                      <a:avLst/>
                    </a:prstGeom>
                    <a:noFill/>
                    <a:ln>
                      <a:noFill/>
                    </a:ln>
                  </pic:spPr>
                </pic:pic>
              </a:graphicData>
            </a:graphic>
          </wp:inline>
        </w:drawing>
      </w:r>
      <w:r w:rsidR="004325D0">
        <w:rPr>
          <w:rFonts w:hint="eastAsia"/>
          <w:noProof/>
        </w:rPr>
        <w:t xml:space="preserve">　</w:t>
      </w:r>
      <w:r w:rsidR="004325D0">
        <w:rPr>
          <w:noProof/>
        </w:rPr>
        <w:drawing>
          <wp:inline distT="0" distB="0" distL="0" distR="0" wp14:anchorId="289F4462" wp14:editId="7DDAFAB7">
            <wp:extent cx="1143000" cy="1614634"/>
            <wp:effectExtent l="0" t="0" r="0" b="5080"/>
            <wp:docPr id="5" name="図 5"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 が含まれている画像&#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153522" cy="1629498"/>
                    </a:xfrm>
                    <a:prstGeom prst="rect">
                      <a:avLst/>
                    </a:prstGeom>
                    <a:noFill/>
                    <a:ln>
                      <a:noFill/>
                    </a:ln>
                  </pic:spPr>
                </pic:pic>
              </a:graphicData>
            </a:graphic>
          </wp:inline>
        </w:drawing>
      </w:r>
    </w:p>
    <w:p w14:paraId="33567FA7" w14:textId="77777777" w:rsidR="00A05350" w:rsidRPr="00A05350" w:rsidRDefault="00A05350" w:rsidP="00A05350">
      <w:pPr>
        <w:ind w:firstLineChars="100" w:firstLine="220"/>
        <w:rPr>
          <w:rFonts w:asciiTheme="minorEastAsia" w:hAnsiTheme="minorEastAsia" w:hint="eastAsia"/>
          <w:color w:val="111111"/>
          <w:sz w:val="22"/>
          <w:shd w:val="clear" w:color="auto" w:fill="FFFFFF"/>
        </w:rPr>
      </w:pPr>
    </w:p>
    <w:p w14:paraId="60F0E43A" w14:textId="3531BBC9" w:rsidR="00A05350" w:rsidRDefault="00A05350" w:rsidP="00A05350">
      <w:pPr>
        <w:ind w:firstLineChars="100" w:firstLine="220"/>
        <w:rPr>
          <w:rFonts w:asciiTheme="minorEastAsia" w:hAnsiTheme="minorEastAsia"/>
          <w:color w:val="333333"/>
          <w:sz w:val="22"/>
        </w:rPr>
      </w:pPr>
      <w:r w:rsidRPr="00A05350">
        <w:rPr>
          <w:rFonts w:asciiTheme="minorEastAsia" w:hAnsiTheme="minorEastAsia" w:hint="eastAsia"/>
          <w:color w:val="333333"/>
          <w:sz w:val="22"/>
        </w:rPr>
        <w:t>新たな医薬品の安全性・有効性を科学的に検証するために、被験者への影響を調べるのが「</w:t>
      </w:r>
      <w:r w:rsidRPr="00A05350">
        <w:rPr>
          <w:rFonts w:asciiTheme="minorEastAsia" w:hAnsiTheme="minorEastAsia" w:hint="eastAsia"/>
          <w:b/>
          <w:bCs/>
          <w:color w:val="333333"/>
          <w:sz w:val="22"/>
        </w:rPr>
        <w:t>臨床試験（治験）</w:t>
      </w:r>
      <w:r w:rsidRPr="00A05350">
        <w:rPr>
          <w:rFonts w:asciiTheme="minorEastAsia" w:hAnsiTheme="minorEastAsia" w:hint="eastAsia"/>
          <w:color w:val="333333"/>
          <w:sz w:val="22"/>
        </w:rPr>
        <w:t>」です。臨床試験では厳格に定められたルールに則り多くの段階を経る必要があり、すべてを終えるまでには膨大な時間と費用がかかります。法的手続きなども段階ごとに発生するため、多くの開発品目を抱える製薬会社にとって、大きな負担となっています。</w:t>
      </w:r>
      <w:r w:rsidRPr="00A05350">
        <w:rPr>
          <w:rFonts w:asciiTheme="minorEastAsia" w:hAnsiTheme="minorEastAsia" w:hint="eastAsia"/>
          <w:color w:val="333333"/>
          <w:sz w:val="22"/>
        </w:rPr>
        <w:br/>
      </w:r>
      <w:r w:rsidRPr="00A05350">
        <w:rPr>
          <w:rFonts w:asciiTheme="minorEastAsia" w:hAnsiTheme="minorEastAsia" w:hint="eastAsia"/>
          <w:color w:val="333333"/>
          <w:sz w:val="22"/>
        </w:rPr>
        <w:t xml:space="preserve">　</w:t>
      </w:r>
      <w:r w:rsidRPr="00A05350">
        <w:rPr>
          <w:rFonts w:asciiTheme="minorEastAsia" w:hAnsiTheme="minorEastAsia" w:hint="eastAsia"/>
          <w:color w:val="333333"/>
          <w:sz w:val="22"/>
        </w:rPr>
        <w:t>CROは、こうしたさまざまな業務を製薬会社に代わって行うことで、医薬品の安全・安心を支えるとともに、新薬開発のスピードアップにも貢献し、一日でも早く患者さんの元へ届けるサポートをしています。</w:t>
      </w:r>
    </w:p>
    <w:p w14:paraId="4FFDE769" w14:textId="7F10603E" w:rsidR="004325D0" w:rsidRPr="004325D0" w:rsidRDefault="004325D0" w:rsidP="00A05350">
      <w:pPr>
        <w:ind w:firstLineChars="100" w:firstLine="221"/>
        <w:rPr>
          <w:rFonts w:asciiTheme="minorEastAsia" w:hAnsiTheme="minorEastAsia"/>
          <w:color w:val="000000" w:themeColor="text1"/>
          <w:sz w:val="22"/>
          <w:shd w:val="clear" w:color="auto" w:fill="FFFFFF"/>
        </w:rPr>
      </w:pPr>
      <w:r w:rsidRPr="004325D0">
        <w:rPr>
          <w:rStyle w:val="a3"/>
          <w:rFonts w:asciiTheme="minorEastAsia" w:hAnsiTheme="minorEastAsia"/>
          <w:color w:val="000000" w:themeColor="text1"/>
          <w:sz w:val="22"/>
          <w:shd w:val="clear" w:color="auto" w:fill="FFFFFF"/>
        </w:rPr>
        <w:t>SMO</w:t>
      </w:r>
      <w:r w:rsidRPr="004325D0">
        <w:rPr>
          <w:rFonts w:asciiTheme="minorEastAsia" w:hAnsiTheme="minorEastAsia"/>
          <w:color w:val="000000" w:themeColor="text1"/>
          <w:sz w:val="22"/>
          <w:shd w:val="clear" w:color="auto" w:fill="FFFFFF"/>
        </w:rPr>
        <w:t>は、実施医療機関がその事務機能等を委託する機関であり、「治験の実施に係る業務の一部を実施医療機関から受託又は代行する者」とすることが適当である。</w:t>
      </w:r>
    </w:p>
    <w:p w14:paraId="32492209" w14:textId="6BBD1FD9" w:rsidR="004325D0" w:rsidRPr="004325D0" w:rsidRDefault="004325D0" w:rsidP="00A05350">
      <w:pPr>
        <w:ind w:firstLineChars="100" w:firstLine="220"/>
        <w:rPr>
          <w:rFonts w:asciiTheme="minorEastAsia" w:hAnsiTheme="minorEastAsia"/>
          <w:color w:val="000000" w:themeColor="text1"/>
          <w:sz w:val="22"/>
          <w:shd w:val="clear" w:color="auto" w:fill="FFFFFF"/>
        </w:rPr>
      </w:pPr>
      <w:r w:rsidRPr="004325D0">
        <w:rPr>
          <w:rFonts w:asciiTheme="minorEastAsia" w:hAnsiTheme="minorEastAsia"/>
          <w:color w:val="000000" w:themeColor="text1"/>
          <w:sz w:val="22"/>
          <w:shd w:val="clear" w:color="auto" w:fill="FFFFFF"/>
        </w:rPr>
        <w:t>CSO（</w:t>
      </w:r>
      <w:r w:rsidRPr="004325D0">
        <w:rPr>
          <w:rStyle w:val="a3"/>
          <w:rFonts w:asciiTheme="minorEastAsia" w:hAnsiTheme="minorEastAsia"/>
          <w:color w:val="000000" w:themeColor="text1"/>
          <w:sz w:val="22"/>
          <w:shd w:val="clear" w:color="auto" w:fill="FFFFFF"/>
        </w:rPr>
        <w:t>Contract Sales Organization</w:t>
      </w:r>
      <w:r w:rsidRPr="004325D0">
        <w:rPr>
          <w:rFonts w:asciiTheme="minorEastAsia" w:hAnsiTheme="minorEastAsia"/>
          <w:color w:val="000000" w:themeColor="text1"/>
          <w:sz w:val="22"/>
          <w:shd w:val="clear" w:color="auto" w:fill="FFFFFF"/>
        </w:rPr>
        <w:t>）. CSOとは、製薬企業に自社が直接雇用したMRを派遣するほか、製薬業界から医薬品の営業やマーケティング活動を請け負う企業である。. 医薬品販売業務受託機関ともいわれる。. 製薬企業側の「急な欠員時のMR補充」「注力製品への一時的なMR力強化」といったニーズに対応するためにできた業種である。. CSOに雇用されるMRのことは、コントラクトMR（CMR）と呼ばれる。. 元々はイギリス発祥の業種である。. 具体的な仕事内容は、メーカーMRと変わらない。</w:t>
      </w:r>
    </w:p>
    <w:p w14:paraId="517BC004" w14:textId="0A390E2E" w:rsidR="004325D0" w:rsidRDefault="004325D0" w:rsidP="00A05350">
      <w:pPr>
        <w:ind w:firstLineChars="100" w:firstLine="220"/>
        <w:rPr>
          <w:rFonts w:asciiTheme="minorEastAsia" w:hAnsiTheme="minorEastAsia"/>
          <w:color w:val="111111"/>
          <w:sz w:val="22"/>
          <w:shd w:val="clear" w:color="auto" w:fill="FFFFFF"/>
        </w:rPr>
      </w:pPr>
    </w:p>
    <w:p w14:paraId="49E1B5C1" w14:textId="73068C0B" w:rsidR="004325D0" w:rsidRDefault="004325D0" w:rsidP="00A05350">
      <w:pPr>
        <w:ind w:firstLineChars="100" w:firstLine="220"/>
        <w:rPr>
          <w:rFonts w:asciiTheme="minorEastAsia" w:hAnsiTheme="minorEastAsia"/>
          <w:color w:val="111111"/>
          <w:sz w:val="22"/>
          <w:shd w:val="clear" w:color="auto" w:fill="FFFFFF"/>
        </w:rPr>
      </w:pPr>
    </w:p>
    <w:p w14:paraId="5D378784" w14:textId="3656C72B" w:rsidR="004325D0" w:rsidRDefault="004325D0" w:rsidP="00A05350">
      <w:pPr>
        <w:ind w:firstLineChars="100" w:firstLine="220"/>
        <w:rPr>
          <w:rFonts w:asciiTheme="minorEastAsia" w:hAnsiTheme="minorEastAsia"/>
          <w:color w:val="111111"/>
          <w:sz w:val="22"/>
          <w:shd w:val="clear" w:color="auto" w:fill="FFFFFF"/>
        </w:rPr>
      </w:pPr>
    </w:p>
    <w:p w14:paraId="3A238BE5" w14:textId="77777777" w:rsidR="004325D0" w:rsidRPr="00A05350" w:rsidRDefault="004325D0" w:rsidP="00A05350">
      <w:pPr>
        <w:ind w:firstLineChars="100" w:firstLine="220"/>
        <w:rPr>
          <w:rFonts w:asciiTheme="minorEastAsia" w:hAnsiTheme="minorEastAsia" w:hint="eastAsia"/>
          <w:color w:val="111111"/>
          <w:sz w:val="22"/>
          <w:shd w:val="clear" w:color="auto" w:fill="FFFFFF"/>
        </w:rPr>
      </w:pPr>
    </w:p>
    <w:p w14:paraId="4318288B" w14:textId="6CBDF8AE" w:rsidR="00DF298D" w:rsidRPr="00A05350" w:rsidRDefault="00DF298D" w:rsidP="00A05350">
      <w:pPr>
        <w:rPr>
          <w:rFonts w:asciiTheme="minorEastAsia" w:hAnsiTheme="minorEastAsia"/>
          <w:color w:val="000000"/>
          <w:sz w:val="22"/>
        </w:rPr>
      </w:pPr>
      <w:r w:rsidRPr="00A05350">
        <w:rPr>
          <w:rFonts w:asciiTheme="minorEastAsia" w:hAnsiTheme="minorEastAsia" w:hint="eastAsia"/>
          <w:color w:val="000000"/>
          <w:sz w:val="22"/>
        </w:rPr>
        <w:lastRenderedPageBreak/>
        <w:t xml:space="preserve">　</w:t>
      </w:r>
      <w:r w:rsidRPr="00A05350">
        <w:rPr>
          <w:rFonts w:asciiTheme="minorEastAsia" w:hAnsiTheme="minorEastAsia" w:hint="eastAsia"/>
          <w:b/>
          <w:bCs/>
          <w:color w:val="000000"/>
          <w:sz w:val="22"/>
        </w:rPr>
        <w:t>CRO</w:t>
      </w:r>
      <w:r w:rsidRPr="00A05350">
        <w:rPr>
          <w:rFonts w:asciiTheme="minorEastAsia" w:hAnsiTheme="minorEastAsia" w:hint="eastAsia"/>
          <w:color w:val="000000"/>
          <w:sz w:val="22"/>
        </w:rPr>
        <w:t xml:space="preserve">は、医薬品開発業務受託機関 (Contract Research Organization)の略称。　　</w:t>
      </w:r>
      <w:r w:rsidRPr="00A05350">
        <w:rPr>
          <w:rFonts w:asciiTheme="minorEastAsia" w:hAnsiTheme="minorEastAsia" w:hint="eastAsia"/>
          <w:b/>
          <w:bCs/>
          <w:color w:val="000000"/>
          <w:sz w:val="22"/>
        </w:rPr>
        <w:t>医薬品開発業務受託機関</w:t>
      </w:r>
      <w:r w:rsidRPr="00A05350">
        <w:rPr>
          <w:rFonts w:asciiTheme="minorEastAsia" w:hAnsiTheme="minorEastAsia" w:hint="eastAsia"/>
          <w:color w:val="000000"/>
          <w:sz w:val="22"/>
        </w:rPr>
        <w:t>とは、企業、医療機関、行政機関等の依頼により、医薬品、医療機器、食品(特定保健用健康食品)、化粧品等の臨床開発及び臨床試験(治験)に関わる業務を、受託、または労働者派遣等で支援する外部機関。　業務委託契約はGCP省令((医薬品の臨床試験の実施の基準に関する省令、あるいは医療機器の臨床試験の実施の基準に関する省令)、新GCP省令に基づいて行われる。依頼企業（製薬メーカー）にとっては、専門性の高い人材を活用できるため、開発から承認までの時間を効率化できるというメリットがある。</w:t>
      </w:r>
      <w:r w:rsidRPr="00A05350">
        <w:rPr>
          <w:rFonts w:asciiTheme="minorEastAsia" w:hAnsiTheme="minorEastAsia" w:hint="eastAsia"/>
          <w:color w:val="000000"/>
          <w:sz w:val="22"/>
        </w:rPr>
        <w:br/>
        <w:t xml:space="preserve">　CROは、それぞれに得意領域を持っており、国内のみならず、世界的な企業もある。1994年に、日本CRO協会が設立された。</w:t>
      </w:r>
      <w:r w:rsidRPr="00A05350">
        <w:rPr>
          <w:rFonts w:asciiTheme="minorEastAsia" w:hAnsiTheme="minorEastAsia" w:hint="eastAsia"/>
          <w:color w:val="000000"/>
          <w:sz w:val="22"/>
        </w:rPr>
        <w:br/>
        <w:t xml:space="preserve">　受託業務は、自社内で作業をする場合と、社員を派遣して依頼企業等に常駐する場合がある。</w:t>
      </w:r>
      <w:r w:rsidRPr="00A05350">
        <w:rPr>
          <w:rFonts w:asciiTheme="minorEastAsia" w:hAnsiTheme="minorEastAsia" w:hint="eastAsia"/>
          <w:color w:val="000000"/>
          <w:sz w:val="22"/>
        </w:rPr>
        <w:br/>
        <w:t xml:space="preserve">　CROが治験プロジェクトを受託し、実際の業務は</w:t>
      </w:r>
      <w:r w:rsidRPr="00A05350">
        <w:rPr>
          <w:rFonts w:asciiTheme="minorEastAsia" w:hAnsiTheme="minorEastAsia" w:hint="eastAsia"/>
          <w:b/>
          <w:bCs/>
          <w:color w:val="000000"/>
          <w:sz w:val="22"/>
        </w:rPr>
        <w:t>CRA、DM、QC(品質管理)</w:t>
      </w:r>
      <w:r w:rsidRPr="00A05350">
        <w:rPr>
          <w:rFonts w:asciiTheme="minorEastAsia" w:hAnsiTheme="minorEastAsia" w:hint="eastAsia"/>
          <w:color w:val="000000"/>
          <w:sz w:val="22"/>
        </w:rPr>
        <w:t>等の専門職が遂行する。</w:t>
      </w:r>
      <w:r w:rsidRPr="00A05350">
        <w:rPr>
          <w:rFonts w:asciiTheme="minorEastAsia" w:hAnsiTheme="minorEastAsia" w:hint="eastAsia"/>
          <w:color w:val="000000"/>
          <w:sz w:val="22"/>
        </w:rPr>
        <w:br/>
        <w:t xml:space="preserve">　主な業務には、臨床開発の立案、臨床試験(治験)の実施、モニタリング業務、承認申請、添付資料・試験報告書等のCTD（Common Technical Document、コモン・テクニカル・ドキュメント）作成や申請、症例報告書の登録、統計解析業務、市販後調査等がある。また、被験者の募集に関わる業務、非臨床試験の支援、医療関係者への情報提供、承認審査における薬事のコンサルティングなどもある。</w:t>
      </w:r>
    </w:p>
    <w:p w14:paraId="4EFA1B3A" w14:textId="5E48346A" w:rsidR="00DF298D" w:rsidRPr="00A05350" w:rsidRDefault="00DF298D" w:rsidP="00A05350">
      <w:pPr>
        <w:rPr>
          <w:rFonts w:asciiTheme="minorEastAsia" w:hAnsiTheme="minorEastAsia"/>
          <w:color w:val="000000"/>
          <w:sz w:val="22"/>
        </w:rPr>
      </w:pPr>
      <w:r w:rsidRPr="00A05350">
        <w:rPr>
          <w:rFonts w:asciiTheme="minorEastAsia" w:hAnsiTheme="minorEastAsia" w:hint="eastAsia"/>
          <w:color w:val="000000"/>
          <w:sz w:val="22"/>
        </w:rPr>
        <w:t xml:space="preserve">■モニタリング業務　</w:t>
      </w:r>
      <w:r w:rsidRPr="00A05350">
        <w:rPr>
          <w:rFonts w:asciiTheme="minorEastAsia" w:hAnsiTheme="minorEastAsia" w:hint="eastAsia"/>
          <w:color w:val="000000"/>
          <w:sz w:val="22"/>
        </w:rPr>
        <w:br/>
        <w:t xml:space="preserve">　GCP省令に基づき、臨床試験の参加協力者(被験者)の人権や安全、福祉の保護(肉体的・精神的健全性)等が、臨床試験実施計画書に従って実施、記録されているかどうかを確認する。また、試験データの原資料に照らして正確性を検証し、症例報告書の記入依頼や回収、市販後にも行われる安全性や有効性の調査等がモニタリング業務である。</w:t>
      </w:r>
      <w:r w:rsidRPr="00A05350">
        <w:rPr>
          <w:rFonts w:asciiTheme="minorEastAsia" w:hAnsiTheme="minorEastAsia" w:hint="eastAsia"/>
          <w:color w:val="000000"/>
          <w:sz w:val="22"/>
        </w:rPr>
        <w:br/>
        <w:t xml:space="preserve">　モニタリング業務は、CRA(臨床開発モニターあるいはモニター)が中心となって行うことが多い。</w:t>
      </w:r>
      <w:r w:rsidRPr="00A05350">
        <w:rPr>
          <w:rFonts w:asciiTheme="minorEastAsia" w:hAnsiTheme="minorEastAsia" w:hint="eastAsia"/>
          <w:color w:val="000000"/>
          <w:sz w:val="22"/>
        </w:rPr>
        <w:br/>
        <w:t xml:space="preserve">　試験の目的、方法、統計学的考察、組織や責任体制等を記載した臨床試験実施計画書(CTP)を作成し、担当医師と面談して説明する。同時に臨床試験の手順の基本となるSOP(標準作業手順書)の作成を行う。SOPは、確実に遵守すべき手順書となる。</w:t>
      </w:r>
      <w:r w:rsidRPr="00A05350">
        <w:rPr>
          <w:rFonts w:asciiTheme="minorEastAsia" w:hAnsiTheme="minorEastAsia" w:hint="eastAsia"/>
          <w:color w:val="000000"/>
          <w:sz w:val="22"/>
        </w:rPr>
        <w:br/>
        <w:t xml:space="preserve">　臨床試験、治験を行う医療機関が決まっていない場合は、治験責任医師の選定や医療機関との契約に至るまでの交渉も行う。</w:t>
      </w:r>
      <w:r w:rsidRPr="00A05350">
        <w:rPr>
          <w:rFonts w:asciiTheme="minorEastAsia" w:hAnsiTheme="minorEastAsia" w:hint="eastAsia"/>
          <w:color w:val="000000"/>
          <w:sz w:val="22"/>
        </w:rPr>
        <w:br/>
        <w:t xml:space="preserve">　治験は、医師やCRC(治験コーディネーター)が中心となって進めるが、治験責任医師、治験分担医師、薬剤師など医療関係者への説明や、進行を管理するのはCRAの役割となる。CRCは、医療機関から委託を受けたSMO(治験施設支援機関)から派遣される。</w:t>
      </w:r>
      <w:r w:rsidRPr="00A05350">
        <w:rPr>
          <w:rFonts w:asciiTheme="minorEastAsia" w:hAnsiTheme="minorEastAsia" w:hint="eastAsia"/>
          <w:color w:val="000000"/>
          <w:sz w:val="22"/>
        </w:rPr>
        <w:br/>
        <w:t>■データマネジメント業務</w:t>
      </w:r>
      <w:r w:rsidRPr="00A05350">
        <w:rPr>
          <w:rFonts w:asciiTheme="minorEastAsia" w:hAnsiTheme="minorEastAsia" w:hint="eastAsia"/>
          <w:color w:val="000000"/>
          <w:sz w:val="22"/>
        </w:rPr>
        <w:br/>
        <w:t xml:space="preserve">　CRF(症例報告書)が回収された後、医学的な内容のチェックや修正、解析、集計を行</w:t>
      </w:r>
      <w:r w:rsidRPr="00A05350">
        <w:rPr>
          <w:rFonts w:asciiTheme="minorEastAsia" w:hAnsiTheme="minorEastAsia" w:hint="eastAsia"/>
          <w:color w:val="000000"/>
          <w:sz w:val="22"/>
        </w:rPr>
        <w:lastRenderedPageBreak/>
        <w:t>ない、専用システム(EDCシステム、EDC)などを使用してデータ化し、管理する業務。DM(データマネジメント)という専門職が行う。</w:t>
      </w:r>
      <w:r w:rsidRPr="00A05350">
        <w:rPr>
          <w:rFonts w:asciiTheme="minorEastAsia" w:hAnsiTheme="minorEastAsia" w:hint="eastAsia"/>
          <w:color w:val="000000"/>
          <w:sz w:val="22"/>
        </w:rPr>
        <w:br/>
        <w:t>■統計解析業務</w:t>
      </w:r>
      <w:r w:rsidRPr="00A05350">
        <w:rPr>
          <w:rFonts w:asciiTheme="minorEastAsia" w:hAnsiTheme="minorEastAsia" w:hint="eastAsia"/>
          <w:color w:val="000000"/>
          <w:sz w:val="22"/>
        </w:rPr>
        <w:br/>
        <w:t>DMがデータを固定後、統計解析手法で治験データを解析して有効性、安全性を検証し、評価する業務。</w:t>
      </w:r>
    </w:p>
    <w:p w14:paraId="130FAAFD" w14:textId="4897D53D" w:rsidR="00A05350" w:rsidRDefault="00A05350" w:rsidP="00A05350">
      <w:pPr>
        <w:rPr>
          <w:rFonts w:asciiTheme="minorEastAsia" w:hAnsiTheme="minorEastAsia"/>
          <w:color w:val="000000" w:themeColor="text1"/>
          <w:sz w:val="24"/>
          <w:szCs w:val="24"/>
        </w:rPr>
      </w:pPr>
      <w:r>
        <w:rPr>
          <w:noProof/>
        </w:rPr>
        <w:drawing>
          <wp:inline distT="0" distB="0" distL="0" distR="0" wp14:anchorId="35634E18" wp14:editId="17D5A8E1">
            <wp:extent cx="5248275" cy="4057650"/>
            <wp:effectExtent l="0" t="0" r="9525" b="0"/>
            <wp:docPr id="1" name="図 1" descr="ＣＲＯの位置づけと役割&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ＣＲＯの位置づけと役割&l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4259" cy="4062276"/>
                    </a:xfrm>
                    <a:prstGeom prst="rect">
                      <a:avLst/>
                    </a:prstGeom>
                    <a:noFill/>
                    <a:ln>
                      <a:noFill/>
                    </a:ln>
                  </pic:spPr>
                </pic:pic>
              </a:graphicData>
            </a:graphic>
          </wp:inline>
        </w:drawing>
      </w:r>
    </w:p>
    <w:p w14:paraId="03DC5929" w14:textId="03DC0938" w:rsidR="003D7441" w:rsidRPr="003D7441" w:rsidRDefault="003D7441" w:rsidP="00A05350">
      <w:pPr>
        <w:rPr>
          <w:rFonts w:asciiTheme="minorEastAsia" w:hAnsiTheme="minorEastAsia"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7441">
        <w:rPr>
          <w:rFonts w:asciiTheme="minorEastAsia" w:hAnsiTheme="minorEastAsia"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参考書：</w:t>
      </w:r>
    </w:p>
    <w:p w14:paraId="5789E067" w14:textId="3A6319F1" w:rsidR="003D7441" w:rsidRPr="00DF298D" w:rsidRDefault="003D7441" w:rsidP="00A05350">
      <w:pPr>
        <w:rPr>
          <w:rFonts w:asciiTheme="minorEastAsia" w:hAnsiTheme="minorEastAsia" w:hint="eastAsia"/>
          <w:color w:val="000000" w:themeColor="text1"/>
          <w:sz w:val="24"/>
          <w:szCs w:val="24"/>
        </w:rPr>
      </w:pPr>
      <w:r>
        <w:rPr>
          <w:noProof/>
        </w:rPr>
        <w:drawing>
          <wp:inline distT="0" distB="0" distL="0" distR="0" wp14:anchorId="731AF723" wp14:editId="36C7FDA7">
            <wp:extent cx="1495425" cy="2148599"/>
            <wp:effectExtent l="0" t="0" r="0" b="4445"/>
            <wp:docPr id="6" name="図 6" descr="写真 : 統計モデル入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写真 : 統計モデル入門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2236" cy="2158385"/>
                    </a:xfrm>
                    <a:prstGeom prst="rect">
                      <a:avLst/>
                    </a:prstGeom>
                    <a:noFill/>
                    <a:ln>
                      <a:noFill/>
                    </a:ln>
                  </pic:spPr>
                </pic:pic>
              </a:graphicData>
            </a:graphic>
          </wp:inline>
        </w:drawing>
      </w:r>
      <w:r>
        <w:rPr>
          <w:rFonts w:asciiTheme="minorEastAsia" w:hAnsiTheme="minorEastAsia" w:hint="eastAsia"/>
          <w:color w:val="000000" w:themeColor="text1"/>
          <w:sz w:val="24"/>
          <w:szCs w:val="24"/>
        </w:rPr>
        <w:t xml:space="preserve">　</w:t>
      </w:r>
      <w:r>
        <w:rPr>
          <w:noProof/>
        </w:rPr>
        <w:drawing>
          <wp:inline distT="0" distB="0" distL="0" distR="0" wp14:anchorId="27EEFD83" wp14:editId="23A81B57">
            <wp:extent cx="1628985" cy="2247900"/>
            <wp:effectExtent l="0" t="0" r="9525" b="0"/>
            <wp:docPr id="7" name="図 7" descr="写真 : 医学統計学の事典 （新装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写真 : 医学統計学の事典 （新装版）"/>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3242" cy="2267574"/>
                    </a:xfrm>
                    <a:prstGeom prst="rect">
                      <a:avLst/>
                    </a:prstGeom>
                    <a:noFill/>
                    <a:ln>
                      <a:noFill/>
                    </a:ln>
                  </pic:spPr>
                </pic:pic>
              </a:graphicData>
            </a:graphic>
          </wp:inline>
        </w:drawing>
      </w:r>
      <w:r>
        <w:rPr>
          <w:rFonts w:asciiTheme="minorEastAsia" w:hAnsiTheme="minorEastAsia" w:hint="eastAsia"/>
          <w:color w:val="000000" w:themeColor="text1"/>
          <w:sz w:val="24"/>
          <w:szCs w:val="24"/>
        </w:rPr>
        <w:t xml:space="preserve">　</w:t>
      </w:r>
      <w:r>
        <w:rPr>
          <w:noProof/>
        </w:rPr>
        <w:drawing>
          <wp:inline distT="0" distB="0" distL="0" distR="0" wp14:anchorId="74A3D7EA" wp14:editId="277D7BB3">
            <wp:extent cx="1480636" cy="2200275"/>
            <wp:effectExtent l="0" t="0" r="5715" b="0"/>
            <wp:docPr id="8" name="図 8" descr="手紙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手紙 が含まれている画像&#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7649" cy="2210697"/>
                    </a:xfrm>
                    <a:prstGeom prst="rect">
                      <a:avLst/>
                    </a:prstGeom>
                    <a:noFill/>
                    <a:ln>
                      <a:noFill/>
                    </a:ln>
                  </pic:spPr>
                </pic:pic>
              </a:graphicData>
            </a:graphic>
          </wp:inline>
        </w:drawing>
      </w:r>
    </w:p>
    <w:sectPr w:rsidR="003D7441" w:rsidRPr="00DF298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98D"/>
    <w:rsid w:val="003D7441"/>
    <w:rsid w:val="004325D0"/>
    <w:rsid w:val="004E1950"/>
    <w:rsid w:val="00A05350"/>
    <w:rsid w:val="00A37085"/>
    <w:rsid w:val="00D70A2F"/>
    <w:rsid w:val="00DF298D"/>
    <w:rsid w:val="00FF4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C1C663"/>
  <w15:chartTrackingRefBased/>
  <w15:docId w15:val="{46DBEDDA-D709-4A51-8663-912B4FEDF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F298D"/>
    <w:rPr>
      <w:b/>
      <w:bCs/>
    </w:rPr>
  </w:style>
  <w:style w:type="paragraph" w:styleId="Web">
    <w:name w:val="Normal (Web)"/>
    <w:basedOn w:val="a"/>
    <w:uiPriority w:val="99"/>
    <w:semiHidden/>
    <w:unhideWhenUsed/>
    <w:rsid w:val="00A053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Hyperlink"/>
    <w:basedOn w:val="a0"/>
    <w:uiPriority w:val="99"/>
    <w:semiHidden/>
    <w:unhideWhenUsed/>
    <w:rsid w:val="00A053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5216">
      <w:bodyDiv w:val="1"/>
      <w:marLeft w:val="0"/>
      <w:marRight w:val="0"/>
      <w:marTop w:val="0"/>
      <w:marBottom w:val="0"/>
      <w:divBdr>
        <w:top w:val="none" w:sz="0" w:space="0" w:color="auto"/>
        <w:left w:val="none" w:sz="0" w:space="0" w:color="auto"/>
        <w:bottom w:val="none" w:sz="0" w:space="0" w:color="auto"/>
        <w:right w:val="none" w:sz="0" w:space="0" w:color="auto"/>
      </w:divBdr>
    </w:div>
    <w:div w:id="678192010">
      <w:bodyDiv w:val="1"/>
      <w:marLeft w:val="0"/>
      <w:marRight w:val="0"/>
      <w:marTop w:val="0"/>
      <w:marBottom w:val="0"/>
      <w:divBdr>
        <w:top w:val="none" w:sz="0" w:space="0" w:color="auto"/>
        <w:left w:val="none" w:sz="0" w:space="0" w:color="auto"/>
        <w:bottom w:val="none" w:sz="0" w:space="0" w:color="auto"/>
        <w:right w:val="none" w:sz="0" w:space="0" w:color="auto"/>
      </w:divBdr>
    </w:div>
    <w:div w:id="160977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B5696-803A-4B27-A0DF-38D6F4B4D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317</Words>
  <Characters>1809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SAITOMOYA</dc:creator>
  <cp:keywords/>
  <dc:description/>
  <cp:lastModifiedBy>SAITOMOYA</cp:lastModifiedBy>
  <cp:revision>2</cp:revision>
  <dcterms:created xsi:type="dcterms:W3CDTF">2023-02-16T00:57:00Z</dcterms:created>
  <dcterms:modified xsi:type="dcterms:W3CDTF">2023-02-16T01:32:00Z</dcterms:modified>
</cp:coreProperties>
</file>